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850"/>
        <w:gridCol w:w="855"/>
        <w:gridCol w:w="283"/>
        <w:gridCol w:w="355"/>
        <w:gridCol w:w="416"/>
        <w:gridCol w:w="266"/>
        <w:gridCol w:w="57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通州区水利设施运维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通州区水务局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北京市通州区城区水务所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4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1.对城区水务所中（六）型闸5座闸门、5台启闭机，小（八）型闸中7个闸门及7台启闭机进行维护、保养，确保水闸及设备有效运行，正常发挥防汛抗旱、调控水位功能。 2.对城区水务所区域内的小中河、小场沟、玉带河、中坝河100200平方米土护坡进行维修养护，保证河道护坡有效抗击水流冲刷，防止水土流失。3.对城区水务所管理区域内小中河、玉带河小场沟、中坝河堤顶路43200平方米进行维修养护，以方便群众出行，保证堤防安全。</w:t>
            </w:r>
          </w:p>
        </w:tc>
        <w:tc>
          <w:tcPr>
            <w:tcW w:w="344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闸门维护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12个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2.启闭机维护12个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3.土护坡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100200平方米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堤顶路43200平方米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指标1：运维养护启闭机数量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指标2：运维养护闸门数量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3：河道堤顶路面维修养护面积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100200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4：河道护坡工程维修养护面积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43200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5：车辆运维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指标1：设备故障处理率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指标2：河道护坡养护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43200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河道堤顶路面维修养护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10200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水工建筑物，水利设施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保证车辆正常运转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指标1：5月前签订合同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5月前签订合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4月签订合同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指标2：年底前全部完成维护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年底前全部完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12月前完成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项目预算控制数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车辆运维未完成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指标1：河道堤顶路面维修养护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指标1：保证河道护坡有效抗击水流冲刷，防止水土流失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指标1：周边居民满意度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98.5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B661C2D"/>
    <w:rsid w:val="240722BB"/>
    <w:rsid w:val="28DA7B9D"/>
    <w:rsid w:val="31EF6742"/>
    <w:rsid w:val="50444FAB"/>
    <w:rsid w:val="6B1C50DF"/>
    <w:rsid w:val="6E57750F"/>
    <w:rsid w:val="706C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1561</Words>
  <Characters>1750</Characters>
  <Lines>0</Lines>
  <Paragraphs>0</Paragraphs>
  <TotalTime>19</TotalTime>
  <ScaleCrop>false</ScaleCrop>
  <LinksUpToDate>false</LinksUpToDate>
  <CharactersWithSpaces>1778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2025-09-08T08:11:06Z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eyJoZGlkIjoiMGM3N2Y0ZmQyY2QwYmJiMDBkZjQzMDFhYjM0YmRkYWIiLCJ1c2VySWQiOiI3ODAyMzY5NzQifQ==</vt:lpwstr>
  </property>
  <property fmtid="{D5CDD505-2E9C-101B-9397-08002B2CF9AE}" pid="4" name="ICV">
    <vt:lpwstr>C55A9C308FBC44AD9694544785C78A33_13</vt:lpwstr>
  </property>
</Properties>
</file>